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527607" w:rsidTr="002D796C">
        <w:tc>
          <w:tcPr>
            <w:tcW w:w="5495" w:type="dxa"/>
            <w:tcBorders>
              <w:top w:val="nil"/>
              <w:left w:val="nil"/>
              <w:bottom w:val="nil"/>
              <w:right w:val="nil"/>
            </w:tcBorders>
          </w:tcPr>
          <w:p w:rsidR="00527607" w:rsidRDefault="00527607" w:rsidP="002D796C">
            <w:pPr>
              <w:widowControl w:val="0"/>
              <w:ind w:right="397"/>
              <w:jc w:val="both"/>
              <w:rPr>
                <w:b/>
                <w:bCs/>
              </w:rPr>
            </w:pPr>
            <w:r>
              <w:rPr>
                <w:b/>
                <w:bCs/>
              </w:rPr>
              <w:t>East Area Planning Committee</w:t>
            </w:r>
          </w:p>
          <w:p w:rsidR="00527607" w:rsidRDefault="00527607" w:rsidP="002D796C">
            <w:pPr>
              <w:widowControl w:val="0"/>
              <w:ind w:right="397"/>
              <w:jc w:val="both"/>
              <w:rPr>
                <w:b/>
                <w:bCs/>
              </w:rPr>
            </w:pPr>
          </w:p>
        </w:tc>
        <w:tc>
          <w:tcPr>
            <w:tcW w:w="3793" w:type="dxa"/>
            <w:tcBorders>
              <w:top w:val="nil"/>
              <w:left w:val="nil"/>
              <w:bottom w:val="nil"/>
              <w:right w:val="nil"/>
            </w:tcBorders>
          </w:tcPr>
          <w:p w:rsidR="00527607" w:rsidRDefault="00527607" w:rsidP="002D796C">
            <w:pPr>
              <w:widowControl w:val="0"/>
              <w:ind w:right="397"/>
              <w:jc w:val="both"/>
            </w:pPr>
          </w:p>
          <w:p w:rsidR="00527607" w:rsidRDefault="006876D9" w:rsidP="006876D9">
            <w:pPr>
              <w:pStyle w:val="ListParagraph"/>
              <w:widowControl w:val="0"/>
              <w:numPr>
                <w:ilvl w:val="0"/>
                <w:numId w:val="12"/>
              </w:numPr>
              <w:ind w:right="397"/>
              <w:jc w:val="both"/>
            </w:pPr>
            <w:r>
              <w:t>5</w:t>
            </w:r>
            <w:r w:rsidR="00527607">
              <w:t xml:space="preserve">th </w:t>
            </w:r>
            <w:r>
              <w:t>November</w:t>
            </w:r>
            <w:r w:rsidR="00527607">
              <w:t xml:space="preserve"> 2014</w:t>
            </w:r>
          </w:p>
        </w:tc>
      </w:tr>
    </w:tbl>
    <w:p w:rsidR="00527607" w:rsidRDefault="00527607" w:rsidP="00527607">
      <w:pPr>
        <w:jc w:val="both"/>
      </w:pPr>
    </w:p>
    <w:p w:rsidR="00527607" w:rsidRDefault="00527607" w:rsidP="00527607">
      <w:pPr>
        <w:jc w:val="both"/>
      </w:pPr>
    </w:p>
    <w:tbl>
      <w:tblPr>
        <w:tblW w:w="9288" w:type="dxa"/>
        <w:tblLook w:val="0000" w:firstRow="0" w:lastRow="0" w:firstColumn="0" w:lastColumn="0" w:noHBand="0" w:noVBand="0"/>
      </w:tblPr>
      <w:tblGrid>
        <w:gridCol w:w="1101"/>
        <w:gridCol w:w="1559"/>
        <w:gridCol w:w="1984"/>
        <w:gridCol w:w="1418"/>
        <w:gridCol w:w="3226"/>
      </w:tblGrid>
      <w:tr w:rsidR="00527607" w:rsidTr="00D34973">
        <w:tc>
          <w:tcPr>
            <w:tcW w:w="2660" w:type="dxa"/>
            <w:gridSpan w:val="2"/>
            <w:tcBorders>
              <w:top w:val="nil"/>
              <w:left w:val="nil"/>
              <w:bottom w:val="nil"/>
              <w:right w:val="nil"/>
            </w:tcBorders>
          </w:tcPr>
          <w:p w:rsidR="00527607" w:rsidRDefault="00527607" w:rsidP="002D796C">
            <w:pPr>
              <w:jc w:val="both"/>
            </w:pPr>
            <w:r>
              <w:rPr>
                <w:b/>
                <w:bCs/>
              </w:rPr>
              <w:t>Application Number:</w:t>
            </w:r>
          </w:p>
        </w:tc>
        <w:tc>
          <w:tcPr>
            <w:tcW w:w="6628" w:type="dxa"/>
            <w:gridSpan w:val="3"/>
            <w:tcBorders>
              <w:top w:val="nil"/>
              <w:left w:val="nil"/>
              <w:bottom w:val="nil"/>
              <w:right w:val="nil"/>
            </w:tcBorders>
          </w:tcPr>
          <w:p w:rsidR="00527607" w:rsidRDefault="006876D9" w:rsidP="002D796C">
            <w:pPr>
              <w:jc w:val="both"/>
            </w:pPr>
            <w:r>
              <w:t>14/02561/CPU</w:t>
            </w:r>
          </w:p>
        </w:tc>
      </w:tr>
      <w:tr w:rsidR="00527607" w:rsidTr="00D34973">
        <w:tc>
          <w:tcPr>
            <w:tcW w:w="2660" w:type="dxa"/>
            <w:gridSpan w:val="2"/>
            <w:tcBorders>
              <w:top w:val="nil"/>
              <w:left w:val="nil"/>
              <w:bottom w:val="nil"/>
              <w:right w:val="nil"/>
            </w:tcBorders>
          </w:tcPr>
          <w:p w:rsidR="00527607" w:rsidRDefault="00527607" w:rsidP="002D796C">
            <w:pPr>
              <w:jc w:val="both"/>
            </w:pPr>
          </w:p>
        </w:tc>
        <w:tc>
          <w:tcPr>
            <w:tcW w:w="6628" w:type="dxa"/>
            <w:gridSpan w:val="3"/>
            <w:tcBorders>
              <w:top w:val="nil"/>
              <w:left w:val="nil"/>
              <w:bottom w:val="nil"/>
              <w:right w:val="nil"/>
            </w:tcBorders>
          </w:tcPr>
          <w:p w:rsidR="00527607" w:rsidRDefault="00527607" w:rsidP="002D796C">
            <w:pPr>
              <w:jc w:val="both"/>
            </w:pPr>
          </w:p>
        </w:tc>
      </w:tr>
      <w:tr w:rsidR="00527607" w:rsidTr="00D34973">
        <w:tc>
          <w:tcPr>
            <w:tcW w:w="2660" w:type="dxa"/>
            <w:gridSpan w:val="2"/>
            <w:tcBorders>
              <w:top w:val="nil"/>
              <w:left w:val="nil"/>
              <w:bottom w:val="nil"/>
              <w:right w:val="nil"/>
            </w:tcBorders>
          </w:tcPr>
          <w:p w:rsidR="00527607" w:rsidRDefault="00527607" w:rsidP="002D796C">
            <w:pPr>
              <w:jc w:val="both"/>
            </w:pPr>
            <w:r>
              <w:rPr>
                <w:b/>
                <w:bCs/>
              </w:rPr>
              <w:t>Decision Due by:</w:t>
            </w:r>
          </w:p>
        </w:tc>
        <w:tc>
          <w:tcPr>
            <w:tcW w:w="6628" w:type="dxa"/>
            <w:gridSpan w:val="3"/>
            <w:tcBorders>
              <w:top w:val="nil"/>
              <w:left w:val="nil"/>
              <w:bottom w:val="nil"/>
              <w:right w:val="nil"/>
            </w:tcBorders>
          </w:tcPr>
          <w:p w:rsidR="00527607" w:rsidRDefault="006876D9" w:rsidP="006876D9">
            <w:pPr>
              <w:jc w:val="both"/>
            </w:pPr>
            <w:r>
              <w:t>6</w:t>
            </w:r>
            <w:r w:rsidR="00777FE6">
              <w:t>th</w:t>
            </w:r>
            <w:bookmarkStart w:id="0" w:name="_GoBack"/>
            <w:bookmarkEnd w:id="0"/>
            <w:r>
              <w:t xml:space="preserve"> November</w:t>
            </w:r>
            <w:r w:rsidR="00527607">
              <w:t xml:space="preserve"> 2014</w:t>
            </w:r>
          </w:p>
        </w:tc>
      </w:tr>
      <w:tr w:rsidR="00527607" w:rsidTr="00D34973">
        <w:tc>
          <w:tcPr>
            <w:tcW w:w="2660" w:type="dxa"/>
            <w:gridSpan w:val="2"/>
            <w:tcBorders>
              <w:top w:val="nil"/>
              <w:left w:val="nil"/>
              <w:bottom w:val="nil"/>
              <w:right w:val="nil"/>
            </w:tcBorders>
          </w:tcPr>
          <w:p w:rsidR="00527607" w:rsidRDefault="00527607" w:rsidP="002D796C">
            <w:pPr>
              <w:jc w:val="both"/>
            </w:pPr>
          </w:p>
        </w:tc>
        <w:tc>
          <w:tcPr>
            <w:tcW w:w="6628" w:type="dxa"/>
            <w:gridSpan w:val="3"/>
            <w:tcBorders>
              <w:top w:val="nil"/>
              <w:left w:val="nil"/>
              <w:bottom w:val="nil"/>
              <w:right w:val="nil"/>
            </w:tcBorders>
          </w:tcPr>
          <w:p w:rsidR="00527607" w:rsidRDefault="00527607" w:rsidP="002D796C">
            <w:pPr>
              <w:jc w:val="both"/>
            </w:pPr>
          </w:p>
        </w:tc>
      </w:tr>
      <w:tr w:rsidR="00527607" w:rsidTr="00D34973">
        <w:tc>
          <w:tcPr>
            <w:tcW w:w="2660" w:type="dxa"/>
            <w:gridSpan w:val="2"/>
            <w:tcBorders>
              <w:top w:val="nil"/>
              <w:left w:val="nil"/>
              <w:bottom w:val="nil"/>
              <w:right w:val="nil"/>
            </w:tcBorders>
          </w:tcPr>
          <w:p w:rsidR="00527607" w:rsidRDefault="00527607" w:rsidP="002D796C">
            <w:pPr>
              <w:jc w:val="both"/>
              <w:rPr>
                <w:b/>
                <w:bCs/>
              </w:rPr>
            </w:pPr>
            <w:r>
              <w:rPr>
                <w:b/>
                <w:bCs/>
              </w:rPr>
              <w:t>Proposal:</w:t>
            </w:r>
          </w:p>
        </w:tc>
        <w:tc>
          <w:tcPr>
            <w:tcW w:w="6628" w:type="dxa"/>
            <w:gridSpan w:val="3"/>
            <w:tcBorders>
              <w:top w:val="nil"/>
              <w:left w:val="nil"/>
              <w:bottom w:val="nil"/>
              <w:right w:val="nil"/>
            </w:tcBorders>
          </w:tcPr>
          <w:p w:rsidR="00527607" w:rsidRDefault="006876D9" w:rsidP="002D796C">
            <w:pPr>
              <w:jc w:val="both"/>
            </w:pPr>
            <w:r>
              <w:t>Single storey rear extension – larger Home Extension PD</w:t>
            </w:r>
          </w:p>
        </w:tc>
      </w:tr>
      <w:tr w:rsidR="00527607" w:rsidTr="00D34973">
        <w:trPr>
          <w:trHeight w:val="213"/>
        </w:trPr>
        <w:tc>
          <w:tcPr>
            <w:tcW w:w="2660" w:type="dxa"/>
            <w:gridSpan w:val="2"/>
            <w:tcBorders>
              <w:top w:val="nil"/>
              <w:left w:val="nil"/>
              <w:bottom w:val="nil"/>
              <w:right w:val="nil"/>
            </w:tcBorders>
          </w:tcPr>
          <w:p w:rsidR="00527607" w:rsidRDefault="00527607" w:rsidP="002D796C">
            <w:pPr>
              <w:jc w:val="both"/>
              <w:rPr>
                <w:b/>
                <w:bCs/>
              </w:rPr>
            </w:pPr>
          </w:p>
        </w:tc>
        <w:tc>
          <w:tcPr>
            <w:tcW w:w="6628" w:type="dxa"/>
            <w:gridSpan w:val="3"/>
            <w:tcBorders>
              <w:top w:val="nil"/>
              <w:left w:val="nil"/>
              <w:bottom w:val="nil"/>
              <w:right w:val="nil"/>
            </w:tcBorders>
          </w:tcPr>
          <w:p w:rsidR="00527607" w:rsidRDefault="00527607" w:rsidP="002D796C">
            <w:pPr>
              <w:jc w:val="both"/>
            </w:pPr>
          </w:p>
        </w:tc>
      </w:tr>
      <w:tr w:rsidR="00527607" w:rsidTr="00D34973">
        <w:tc>
          <w:tcPr>
            <w:tcW w:w="2660" w:type="dxa"/>
            <w:gridSpan w:val="2"/>
            <w:tcBorders>
              <w:top w:val="nil"/>
              <w:left w:val="nil"/>
              <w:bottom w:val="nil"/>
              <w:right w:val="nil"/>
            </w:tcBorders>
          </w:tcPr>
          <w:p w:rsidR="00527607" w:rsidRDefault="00527607" w:rsidP="002D796C">
            <w:pPr>
              <w:jc w:val="both"/>
              <w:rPr>
                <w:b/>
                <w:bCs/>
              </w:rPr>
            </w:pPr>
            <w:r>
              <w:rPr>
                <w:b/>
                <w:bCs/>
              </w:rPr>
              <w:t>Site Address:</w:t>
            </w:r>
          </w:p>
        </w:tc>
        <w:tc>
          <w:tcPr>
            <w:tcW w:w="6628" w:type="dxa"/>
            <w:gridSpan w:val="3"/>
            <w:tcBorders>
              <w:top w:val="nil"/>
              <w:left w:val="nil"/>
              <w:bottom w:val="nil"/>
              <w:right w:val="nil"/>
            </w:tcBorders>
          </w:tcPr>
          <w:p w:rsidR="00527607" w:rsidRDefault="006876D9" w:rsidP="006876D9">
            <w:pPr>
              <w:jc w:val="both"/>
            </w:pPr>
            <w:r>
              <w:t>19 Mortimer Drive, Marston, Oxford OX3 0RU</w:t>
            </w:r>
          </w:p>
        </w:tc>
      </w:tr>
      <w:tr w:rsidR="00527607" w:rsidTr="00D34973">
        <w:tc>
          <w:tcPr>
            <w:tcW w:w="2660" w:type="dxa"/>
            <w:gridSpan w:val="2"/>
            <w:tcBorders>
              <w:top w:val="nil"/>
              <w:left w:val="nil"/>
              <w:bottom w:val="nil"/>
              <w:right w:val="nil"/>
            </w:tcBorders>
          </w:tcPr>
          <w:p w:rsidR="00527607" w:rsidRDefault="00527607" w:rsidP="002D796C">
            <w:pPr>
              <w:jc w:val="both"/>
            </w:pPr>
          </w:p>
        </w:tc>
        <w:tc>
          <w:tcPr>
            <w:tcW w:w="6628" w:type="dxa"/>
            <w:gridSpan w:val="3"/>
            <w:tcBorders>
              <w:top w:val="nil"/>
              <w:left w:val="nil"/>
              <w:bottom w:val="nil"/>
              <w:right w:val="nil"/>
            </w:tcBorders>
          </w:tcPr>
          <w:p w:rsidR="00527607" w:rsidRDefault="00527607" w:rsidP="002D796C">
            <w:pPr>
              <w:jc w:val="both"/>
            </w:pPr>
          </w:p>
        </w:tc>
      </w:tr>
      <w:tr w:rsidR="00527607" w:rsidTr="00D34973">
        <w:tc>
          <w:tcPr>
            <w:tcW w:w="2660" w:type="dxa"/>
            <w:gridSpan w:val="2"/>
            <w:tcBorders>
              <w:top w:val="nil"/>
              <w:left w:val="nil"/>
              <w:bottom w:val="nil"/>
              <w:right w:val="nil"/>
            </w:tcBorders>
          </w:tcPr>
          <w:p w:rsidR="00527607" w:rsidRDefault="00527607" w:rsidP="002D796C">
            <w:pPr>
              <w:jc w:val="both"/>
              <w:rPr>
                <w:b/>
                <w:bCs/>
              </w:rPr>
            </w:pPr>
            <w:r>
              <w:rPr>
                <w:b/>
                <w:bCs/>
              </w:rPr>
              <w:t>Ward:</w:t>
            </w:r>
          </w:p>
        </w:tc>
        <w:tc>
          <w:tcPr>
            <w:tcW w:w="6628" w:type="dxa"/>
            <w:gridSpan w:val="3"/>
            <w:tcBorders>
              <w:top w:val="nil"/>
              <w:left w:val="nil"/>
              <w:bottom w:val="nil"/>
              <w:right w:val="nil"/>
            </w:tcBorders>
          </w:tcPr>
          <w:p w:rsidR="00527607" w:rsidRDefault="006876D9" w:rsidP="002D796C">
            <w:pPr>
              <w:jc w:val="both"/>
            </w:pPr>
            <w:r>
              <w:t>Marston</w:t>
            </w:r>
            <w:r w:rsidR="00527607">
              <w:t xml:space="preserve"> Ward</w:t>
            </w:r>
          </w:p>
        </w:tc>
      </w:tr>
      <w:tr w:rsidR="009E05CB" w:rsidTr="00D34973">
        <w:tc>
          <w:tcPr>
            <w:tcW w:w="2660" w:type="dxa"/>
            <w:gridSpan w:val="2"/>
            <w:tcBorders>
              <w:top w:val="nil"/>
              <w:left w:val="nil"/>
              <w:bottom w:val="nil"/>
              <w:right w:val="nil"/>
            </w:tcBorders>
          </w:tcPr>
          <w:p w:rsidR="009E05CB" w:rsidRDefault="009E05CB" w:rsidP="002D796C">
            <w:pPr>
              <w:jc w:val="both"/>
              <w:rPr>
                <w:b/>
                <w:bCs/>
              </w:rPr>
            </w:pPr>
          </w:p>
        </w:tc>
        <w:tc>
          <w:tcPr>
            <w:tcW w:w="6628" w:type="dxa"/>
            <w:gridSpan w:val="3"/>
            <w:tcBorders>
              <w:top w:val="nil"/>
              <w:left w:val="nil"/>
              <w:bottom w:val="nil"/>
              <w:right w:val="nil"/>
            </w:tcBorders>
          </w:tcPr>
          <w:p w:rsidR="009E05CB" w:rsidRDefault="009E05CB" w:rsidP="002D796C">
            <w:pPr>
              <w:jc w:val="both"/>
            </w:pPr>
          </w:p>
        </w:tc>
      </w:tr>
      <w:tr w:rsidR="00527607" w:rsidTr="009E05CB">
        <w:tc>
          <w:tcPr>
            <w:tcW w:w="1101" w:type="dxa"/>
            <w:tcBorders>
              <w:top w:val="nil"/>
              <w:left w:val="nil"/>
              <w:bottom w:val="nil"/>
              <w:right w:val="nil"/>
            </w:tcBorders>
          </w:tcPr>
          <w:p w:rsidR="00527607" w:rsidRDefault="00527607" w:rsidP="002D796C">
            <w:pPr>
              <w:jc w:val="both"/>
            </w:pPr>
            <w:r>
              <w:rPr>
                <w:b/>
                <w:bCs/>
              </w:rPr>
              <w:t>Agent:</w:t>
            </w:r>
            <w:r>
              <w:t xml:space="preserve"> </w:t>
            </w:r>
          </w:p>
        </w:tc>
        <w:tc>
          <w:tcPr>
            <w:tcW w:w="3543" w:type="dxa"/>
            <w:gridSpan w:val="2"/>
            <w:tcBorders>
              <w:top w:val="nil"/>
              <w:left w:val="nil"/>
              <w:bottom w:val="nil"/>
              <w:right w:val="nil"/>
            </w:tcBorders>
          </w:tcPr>
          <w:p w:rsidR="00527607" w:rsidRDefault="00527607" w:rsidP="002D796C">
            <w:pPr>
              <w:jc w:val="both"/>
            </w:pPr>
            <w:r>
              <w:t>N/A</w:t>
            </w:r>
          </w:p>
        </w:tc>
        <w:tc>
          <w:tcPr>
            <w:tcW w:w="1418" w:type="dxa"/>
            <w:tcBorders>
              <w:top w:val="nil"/>
              <w:left w:val="nil"/>
              <w:bottom w:val="nil"/>
              <w:right w:val="nil"/>
            </w:tcBorders>
          </w:tcPr>
          <w:p w:rsidR="00527607" w:rsidRDefault="00527607" w:rsidP="002D796C">
            <w:pPr>
              <w:jc w:val="both"/>
            </w:pPr>
            <w:r>
              <w:rPr>
                <w:b/>
                <w:bCs/>
              </w:rPr>
              <w:t>Applicant:</w:t>
            </w:r>
            <w:r>
              <w:t xml:space="preserve"> </w:t>
            </w:r>
          </w:p>
        </w:tc>
        <w:tc>
          <w:tcPr>
            <w:tcW w:w="3226" w:type="dxa"/>
            <w:tcBorders>
              <w:top w:val="nil"/>
              <w:left w:val="nil"/>
              <w:bottom w:val="nil"/>
              <w:right w:val="nil"/>
            </w:tcBorders>
          </w:tcPr>
          <w:p w:rsidR="00527607" w:rsidRDefault="000F28E6" w:rsidP="002D796C">
            <w:pPr>
              <w:jc w:val="both"/>
            </w:pPr>
            <w:r>
              <w:t>Corporate Assets for Oxford City Council</w:t>
            </w:r>
          </w:p>
          <w:p w:rsidR="00D34973" w:rsidRDefault="00D34973" w:rsidP="002D796C">
            <w:pPr>
              <w:jc w:val="both"/>
            </w:pPr>
          </w:p>
        </w:tc>
      </w:tr>
      <w:tr w:rsidR="00D34973" w:rsidTr="00D34973">
        <w:tc>
          <w:tcPr>
            <w:tcW w:w="2660" w:type="dxa"/>
            <w:gridSpan w:val="2"/>
            <w:tcBorders>
              <w:top w:val="nil"/>
              <w:left w:val="nil"/>
              <w:bottom w:val="nil"/>
              <w:right w:val="nil"/>
            </w:tcBorders>
          </w:tcPr>
          <w:p w:rsidR="00D34973" w:rsidRDefault="00D34973" w:rsidP="002D796C">
            <w:pPr>
              <w:jc w:val="both"/>
              <w:rPr>
                <w:b/>
                <w:bCs/>
              </w:rPr>
            </w:pPr>
            <w:r>
              <w:rPr>
                <w:b/>
                <w:bCs/>
              </w:rPr>
              <w:t>Committee Reason:</w:t>
            </w:r>
          </w:p>
        </w:tc>
        <w:tc>
          <w:tcPr>
            <w:tcW w:w="6628" w:type="dxa"/>
            <w:gridSpan w:val="3"/>
            <w:tcBorders>
              <w:top w:val="nil"/>
              <w:left w:val="nil"/>
              <w:bottom w:val="nil"/>
              <w:right w:val="nil"/>
            </w:tcBorders>
          </w:tcPr>
          <w:p w:rsidR="00D34973" w:rsidRDefault="00D34973" w:rsidP="00D34973">
            <w:pPr>
              <w:jc w:val="both"/>
            </w:pPr>
            <w:r>
              <w:rPr>
                <w:bCs/>
              </w:rPr>
              <w:t xml:space="preserve">This application </w:t>
            </w:r>
            <w:r w:rsidR="00036276">
              <w:rPr>
                <w:bCs/>
              </w:rPr>
              <w:t>is referred to committee due to the application being City Council Housing Services</w:t>
            </w:r>
          </w:p>
        </w:tc>
      </w:tr>
      <w:tr w:rsidR="00D34973" w:rsidTr="00D34973">
        <w:trPr>
          <w:trHeight w:val="213"/>
        </w:trPr>
        <w:tc>
          <w:tcPr>
            <w:tcW w:w="2660" w:type="dxa"/>
            <w:gridSpan w:val="2"/>
            <w:tcBorders>
              <w:top w:val="nil"/>
              <w:left w:val="nil"/>
              <w:bottom w:val="nil"/>
              <w:right w:val="nil"/>
            </w:tcBorders>
          </w:tcPr>
          <w:p w:rsidR="00D34973" w:rsidRDefault="00D34973" w:rsidP="002D796C">
            <w:pPr>
              <w:jc w:val="both"/>
              <w:rPr>
                <w:b/>
                <w:bCs/>
              </w:rPr>
            </w:pPr>
          </w:p>
        </w:tc>
        <w:tc>
          <w:tcPr>
            <w:tcW w:w="6628" w:type="dxa"/>
            <w:gridSpan w:val="3"/>
            <w:tcBorders>
              <w:top w:val="nil"/>
              <w:left w:val="nil"/>
              <w:bottom w:val="nil"/>
              <w:right w:val="nil"/>
            </w:tcBorders>
          </w:tcPr>
          <w:p w:rsidR="00D34973" w:rsidRDefault="00D34973" w:rsidP="002D796C">
            <w:pPr>
              <w:jc w:val="both"/>
            </w:pPr>
          </w:p>
        </w:tc>
      </w:tr>
    </w:tbl>
    <w:p w:rsidR="00527607" w:rsidRDefault="00527607" w:rsidP="00527607">
      <w:pPr>
        <w:pBdr>
          <w:bottom w:val="single" w:sz="4" w:space="1" w:color="auto"/>
        </w:pBdr>
        <w:jc w:val="both"/>
      </w:pPr>
    </w:p>
    <w:p w:rsidR="00527607" w:rsidRDefault="00527607" w:rsidP="00527607">
      <w:pPr>
        <w:pStyle w:val="Header"/>
        <w:widowControl w:val="0"/>
        <w:tabs>
          <w:tab w:val="clear" w:pos="4153"/>
          <w:tab w:val="clear" w:pos="8306"/>
        </w:tabs>
        <w:jc w:val="both"/>
      </w:pPr>
    </w:p>
    <w:p w:rsidR="00527607" w:rsidRDefault="00527607" w:rsidP="00527607">
      <w:pPr>
        <w:widowControl w:val="0"/>
        <w:jc w:val="both"/>
        <w:rPr>
          <w:b/>
          <w:bCs/>
        </w:rPr>
      </w:pPr>
      <w:r>
        <w:rPr>
          <w:b/>
          <w:bCs/>
        </w:rPr>
        <w:t>Recommendation:</w:t>
      </w:r>
    </w:p>
    <w:p w:rsidR="00527607" w:rsidRDefault="00527607" w:rsidP="00527607">
      <w:pPr>
        <w:widowControl w:val="0"/>
        <w:jc w:val="both"/>
      </w:pPr>
    </w:p>
    <w:p w:rsidR="00527607" w:rsidRDefault="00527607" w:rsidP="00527607">
      <w:pPr>
        <w:widowControl w:val="0"/>
        <w:jc w:val="both"/>
      </w:pPr>
      <w:r>
        <w:t>APPLICATION BE APPROVED</w:t>
      </w:r>
    </w:p>
    <w:p w:rsidR="00527607" w:rsidRDefault="00527607" w:rsidP="00527607">
      <w:pPr>
        <w:widowControl w:val="0"/>
        <w:jc w:val="both"/>
      </w:pPr>
    </w:p>
    <w:p w:rsidR="00527607" w:rsidRDefault="00527607" w:rsidP="00527607">
      <w:pPr>
        <w:widowControl w:val="0"/>
        <w:ind w:left="720" w:hanging="720"/>
        <w:jc w:val="both"/>
      </w:pPr>
      <w:r>
        <w:t>For the following reasons:</w:t>
      </w:r>
    </w:p>
    <w:p w:rsidR="00527607" w:rsidRDefault="00527607" w:rsidP="00527607">
      <w:pPr>
        <w:widowControl w:val="0"/>
        <w:ind w:left="720" w:hanging="720"/>
        <w:jc w:val="both"/>
      </w:pPr>
    </w:p>
    <w:p w:rsidR="00527607" w:rsidRDefault="00527607" w:rsidP="00527607">
      <w:pPr>
        <w:widowControl w:val="0"/>
        <w:ind w:left="720" w:hanging="720"/>
        <w:jc w:val="both"/>
      </w:pPr>
      <w:r>
        <w:t xml:space="preserve"> 1</w:t>
      </w:r>
      <w:r>
        <w:tab/>
      </w:r>
      <w:r w:rsidR="000F28E6" w:rsidRPr="000F28E6">
        <w:t>The proposal has been subject to an application for a larger home extension, reference 14/02356/H42, with no neighbour objections received, no prior approval was required, and the proposal is therefore considered development permitted by Class A; of Schedule 2 Part 1 of the Town and Country Planning (General Permitted Development) Order 1995 as amended by the Town and Country Planning (General Permitted Development) (Amendment) (No.2) (England) Order 2008 and does not, therefore require planning permission to be obtained from the local planning authority, provided that the proposal is carried out as described, and is within the curtilage of this property.</w:t>
      </w:r>
    </w:p>
    <w:p w:rsidR="00527607" w:rsidRDefault="00527607" w:rsidP="000F28E6">
      <w:pPr>
        <w:widowControl w:val="0"/>
        <w:ind w:left="720" w:hanging="720"/>
        <w:jc w:val="both"/>
      </w:pPr>
      <w:r>
        <w:t xml:space="preserve"> </w:t>
      </w:r>
    </w:p>
    <w:p w:rsidR="00527607" w:rsidRDefault="00527607" w:rsidP="00527607">
      <w:pPr>
        <w:widowControl w:val="0"/>
        <w:jc w:val="both"/>
      </w:pPr>
    </w:p>
    <w:p w:rsidR="00527607" w:rsidRDefault="000F28E6" w:rsidP="00527607">
      <w:pPr>
        <w:jc w:val="both"/>
        <w:rPr>
          <w:b/>
          <w:bCs/>
        </w:rPr>
      </w:pPr>
      <w:r>
        <w:rPr>
          <w:b/>
          <w:bCs/>
        </w:rPr>
        <w:t>Legislation</w:t>
      </w:r>
      <w:r w:rsidR="00527607">
        <w:rPr>
          <w:b/>
          <w:bCs/>
        </w:rPr>
        <w:t>:</w:t>
      </w:r>
    </w:p>
    <w:p w:rsidR="00527607" w:rsidRDefault="00527607" w:rsidP="00527607">
      <w:pPr>
        <w:widowControl w:val="0"/>
        <w:jc w:val="both"/>
      </w:pPr>
    </w:p>
    <w:p w:rsidR="000F28E6" w:rsidRPr="000F28E6" w:rsidRDefault="000F28E6" w:rsidP="000F28E6">
      <w:pPr>
        <w:widowControl w:val="0"/>
        <w:ind w:left="1440" w:right="397" w:hanging="1440"/>
        <w:jc w:val="both"/>
        <w:rPr>
          <w:b/>
          <w:bCs/>
        </w:rPr>
      </w:pPr>
      <w:r>
        <w:rPr>
          <w:b/>
          <w:bCs/>
        </w:rPr>
        <w:t>GDPO</w:t>
      </w:r>
      <w:r>
        <w:rPr>
          <w:b/>
          <w:bCs/>
        </w:rPr>
        <w:tab/>
        <w:t xml:space="preserve">- </w:t>
      </w:r>
      <w:r w:rsidRPr="000F28E6">
        <w:t>Town and Country Planning (General Permitted Development) Order 1995 as amended by the Town and Country Planning (General Permitted Development) (Amendment) (No.2) (England) Order 2008</w:t>
      </w:r>
    </w:p>
    <w:p w:rsidR="000F28E6" w:rsidRDefault="000F28E6" w:rsidP="00527607">
      <w:pPr>
        <w:widowControl w:val="0"/>
        <w:ind w:right="397"/>
        <w:jc w:val="both"/>
      </w:pPr>
    </w:p>
    <w:p w:rsidR="00527607" w:rsidRDefault="00527607" w:rsidP="00527607">
      <w:pPr>
        <w:widowControl w:val="0"/>
        <w:ind w:right="397"/>
        <w:jc w:val="both"/>
      </w:pPr>
      <w:r>
        <w:rPr>
          <w:b/>
          <w:bCs/>
        </w:rPr>
        <w:t>Relevant Site History:</w:t>
      </w:r>
    </w:p>
    <w:p w:rsidR="000F28E6" w:rsidRDefault="000F28E6" w:rsidP="000F28E6">
      <w:pPr>
        <w:ind w:right="397"/>
        <w:jc w:val="both"/>
        <w:rPr>
          <w:b/>
          <w:bCs/>
        </w:rPr>
      </w:pPr>
      <w:r>
        <w:t>14/02356/H42</w:t>
      </w:r>
      <w:r>
        <w:tab/>
        <w:t>-</w:t>
      </w:r>
      <w:r>
        <w:tab/>
        <w:t xml:space="preserve"> Larger Home extension consultation scheme</w:t>
      </w:r>
    </w:p>
    <w:p w:rsidR="00527607" w:rsidRDefault="00527607" w:rsidP="00527607">
      <w:pPr>
        <w:widowControl w:val="0"/>
        <w:ind w:right="397"/>
        <w:jc w:val="both"/>
        <w:rPr>
          <w:lang w:val="en-US"/>
        </w:rPr>
      </w:pPr>
    </w:p>
    <w:p w:rsidR="00527607" w:rsidRDefault="00527607" w:rsidP="00527607">
      <w:pPr>
        <w:widowControl w:val="0"/>
        <w:jc w:val="both"/>
        <w:rPr>
          <w:lang w:val="en-US"/>
        </w:rPr>
      </w:pPr>
    </w:p>
    <w:p w:rsidR="00527607" w:rsidRDefault="00527607" w:rsidP="00527607">
      <w:pPr>
        <w:widowControl w:val="0"/>
        <w:jc w:val="both"/>
        <w:rPr>
          <w:b/>
          <w:bCs/>
        </w:rPr>
      </w:pPr>
      <w:r>
        <w:rPr>
          <w:b/>
          <w:bCs/>
        </w:rPr>
        <w:lastRenderedPageBreak/>
        <w:t>Representations Received:</w:t>
      </w:r>
    </w:p>
    <w:p w:rsidR="00527607" w:rsidRDefault="00527607" w:rsidP="00527607">
      <w:pPr>
        <w:widowControl w:val="0"/>
        <w:jc w:val="both"/>
      </w:pPr>
    </w:p>
    <w:p w:rsidR="00527607" w:rsidRDefault="00AA04A4" w:rsidP="00527607">
      <w:pPr>
        <w:widowControl w:val="0"/>
        <w:jc w:val="both"/>
        <w:rPr>
          <w:lang w:val="en-US"/>
        </w:rPr>
      </w:pPr>
      <w:r>
        <w:rPr>
          <w:lang w:val="en-US"/>
        </w:rPr>
        <w:t>None received</w:t>
      </w:r>
    </w:p>
    <w:p w:rsidR="000F28E6" w:rsidRDefault="000F28E6" w:rsidP="00527607">
      <w:pPr>
        <w:widowControl w:val="0"/>
        <w:jc w:val="both"/>
      </w:pPr>
    </w:p>
    <w:p w:rsidR="00527607" w:rsidRDefault="00527607" w:rsidP="00527607">
      <w:pPr>
        <w:widowControl w:val="0"/>
        <w:jc w:val="both"/>
      </w:pPr>
    </w:p>
    <w:p w:rsidR="00527607" w:rsidRDefault="00527607" w:rsidP="00527607">
      <w:pPr>
        <w:widowControl w:val="0"/>
        <w:ind w:right="397"/>
        <w:jc w:val="both"/>
        <w:rPr>
          <w:b/>
          <w:bCs/>
        </w:rPr>
      </w:pPr>
      <w:r>
        <w:rPr>
          <w:b/>
          <w:bCs/>
        </w:rPr>
        <w:t>Officers Assessment:</w:t>
      </w:r>
    </w:p>
    <w:p w:rsidR="00527607" w:rsidRPr="00550AD5" w:rsidRDefault="00527607" w:rsidP="00527607">
      <w:pPr>
        <w:widowControl w:val="0"/>
        <w:ind w:right="397"/>
        <w:jc w:val="both"/>
        <w:rPr>
          <w:b/>
        </w:rPr>
      </w:pPr>
    </w:p>
    <w:p w:rsidR="00527607" w:rsidRDefault="00527607" w:rsidP="00527607">
      <w:pPr>
        <w:widowControl w:val="0"/>
        <w:ind w:right="397" w:firstLine="360"/>
        <w:jc w:val="both"/>
        <w:rPr>
          <w:b/>
        </w:rPr>
      </w:pPr>
      <w:r>
        <w:rPr>
          <w:b/>
        </w:rPr>
        <w:t>1</w:t>
      </w:r>
      <w:r>
        <w:rPr>
          <w:b/>
        </w:rPr>
        <w:tab/>
      </w:r>
      <w:r w:rsidRPr="00550AD5">
        <w:rPr>
          <w:b/>
        </w:rPr>
        <w:t>Site Description</w:t>
      </w:r>
    </w:p>
    <w:p w:rsidR="00527607" w:rsidRPr="00550AD5" w:rsidRDefault="00527607" w:rsidP="00527607">
      <w:pPr>
        <w:widowControl w:val="0"/>
        <w:ind w:right="397"/>
        <w:jc w:val="both"/>
        <w:rPr>
          <w:b/>
        </w:rPr>
      </w:pPr>
    </w:p>
    <w:p w:rsidR="00527607" w:rsidRDefault="000F28E6" w:rsidP="00527607">
      <w:pPr>
        <w:widowControl w:val="0"/>
        <w:numPr>
          <w:ilvl w:val="0"/>
          <w:numId w:val="3"/>
        </w:numPr>
        <w:ind w:left="993" w:right="397" w:hanging="633"/>
        <w:jc w:val="both"/>
      </w:pPr>
      <w:r>
        <w:t>19 Mortimer Drive is a mid-terraced residential dwelling in the urban area of Marston.</w:t>
      </w:r>
    </w:p>
    <w:p w:rsidR="00527607" w:rsidRDefault="00527607" w:rsidP="00527607">
      <w:pPr>
        <w:widowControl w:val="0"/>
        <w:ind w:left="993" w:right="397" w:hanging="633"/>
        <w:jc w:val="both"/>
      </w:pPr>
    </w:p>
    <w:p w:rsidR="00527607" w:rsidRDefault="00527607" w:rsidP="00527607">
      <w:pPr>
        <w:widowControl w:val="0"/>
        <w:numPr>
          <w:ilvl w:val="0"/>
          <w:numId w:val="4"/>
        </w:numPr>
        <w:ind w:right="397"/>
        <w:jc w:val="both"/>
        <w:rPr>
          <w:b/>
        </w:rPr>
      </w:pPr>
      <w:r w:rsidRPr="008F4F7A">
        <w:rPr>
          <w:b/>
        </w:rPr>
        <w:t>Planning History</w:t>
      </w:r>
    </w:p>
    <w:p w:rsidR="00527607" w:rsidRPr="008F4F7A" w:rsidRDefault="00527607" w:rsidP="00527607">
      <w:pPr>
        <w:widowControl w:val="0"/>
        <w:ind w:right="397"/>
        <w:jc w:val="both"/>
        <w:rPr>
          <w:b/>
        </w:rPr>
      </w:pPr>
    </w:p>
    <w:p w:rsidR="00527607" w:rsidRDefault="000F28E6" w:rsidP="00527607">
      <w:pPr>
        <w:widowControl w:val="0"/>
        <w:numPr>
          <w:ilvl w:val="0"/>
          <w:numId w:val="5"/>
        </w:numPr>
        <w:ind w:left="851" w:right="397" w:hanging="491"/>
        <w:jc w:val="both"/>
      </w:pPr>
      <w:r>
        <w:t>In 2014</w:t>
      </w:r>
      <w:r w:rsidR="00527607">
        <w:t xml:space="preserve"> a</w:t>
      </w:r>
      <w:r w:rsidR="00AA04A4">
        <w:t>n</w:t>
      </w:r>
      <w:r w:rsidR="00527607">
        <w:t xml:space="preserve"> application was submitted (reference </w:t>
      </w:r>
      <w:r>
        <w:t>14/02356/H42</w:t>
      </w:r>
      <w:r w:rsidR="00527607">
        <w:t xml:space="preserve">) </w:t>
      </w:r>
      <w:r>
        <w:t xml:space="preserve">for the </w:t>
      </w:r>
      <w:r w:rsidR="00AA04A4">
        <w:t xml:space="preserve">determination as to </w:t>
      </w:r>
      <w:r w:rsidR="006054E5">
        <w:t>whether</w:t>
      </w:r>
      <w:r w:rsidR="00AA04A4">
        <w:t xml:space="preserve"> the Council’s prior approval w</w:t>
      </w:r>
      <w:r>
        <w:t xml:space="preserve">as required for </w:t>
      </w:r>
      <w:r w:rsidR="00AA04A4">
        <w:t xml:space="preserve">a </w:t>
      </w:r>
      <w:r>
        <w:t xml:space="preserve">larger home extension under recent changes to the General Permitted Development Order to determine if the proposal was </w:t>
      </w:r>
      <w:r w:rsidR="000544B8">
        <w:t>considered</w:t>
      </w:r>
      <w:r>
        <w:t xml:space="preserve"> permitted </w:t>
      </w:r>
      <w:r w:rsidR="000544B8">
        <w:t xml:space="preserve">development and if </w:t>
      </w:r>
      <w:r>
        <w:t>prior approval was required .</w:t>
      </w:r>
    </w:p>
    <w:p w:rsidR="00527607" w:rsidRDefault="00527607" w:rsidP="00527607">
      <w:pPr>
        <w:widowControl w:val="0"/>
        <w:ind w:left="851" w:right="397" w:hanging="491"/>
        <w:jc w:val="both"/>
      </w:pPr>
    </w:p>
    <w:p w:rsidR="00527607" w:rsidRDefault="000544B8" w:rsidP="000544B8">
      <w:pPr>
        <w:widowControl w:val="0"/>
        <w:numPr>
          <w:ilvl w:val="0"/>
          <w:numId w:val="5"/>
        </w:numPr>
        <w:ind w:left="851" w:right="397" w:hanging="491"/>
        <w:jc w:val="both"/>
        <w:rPr>
          <w:b/>
        </w:rPr>
      </w:pPr>
      <w:r>
        <w:t>No objections had been received and thus the proposal did not require prior approval and is considered permitted development.</w:t>
      </w:r>
      <w:r>
        <w:rPr>
          <w:b/>
        </w:rPr>
        <w:t xml:space="preserve"> </w:t>
      </w:r>
    </w:p>
    <w:p w:rsidR="00527607" w:rsidRDefault="00527607" w:rsidP="00527607">
      <w:pPr>
        <w:widowControl w:val="0"/>
        <w:ind w:left="993" w:right="397" w:hanging="633"/>
        <w:jc w:val="both"/>
        <w:rPr>
          <w:b/>
        </w:rPr>
      </w:pPr>
    </w:p>
    <w:p w:rsidR="00BD595D" w:rsidRPr="00862601" w:rsidRDefault="00BD595D" w:rsidP="00527607">
      <w:pPr>
        <w:widowControl w:val="0"/>
        <w:ind w:left="993" w:right="397" w:hanging="633"/>
        <w:jc w:val="both"/>
        <w:rPr>
          <w:b/>
        </w:rPr>
      </w:pPr>
    </w:p>
    <w:p w:rsidR="00527607" w:rsidRDefault="00527607" w:rsidP="00527607">
      <w:pPr>
        <w:widowControl w:val="0"/>
        <w:numPr>
          <w:ilvl w:val="0"/>
          <w:numId w:val="4"/>
        </w:numPr>
        <w:ind w:right="397"/>
        <w:jc w:val="both"/>
        <w:rPr>
          <w:b/>
        </w:rPr>
      </w:pPr>
      <w:r w:rsidRPr="00862601">
        <w:rPr>
          <w:b/>
        </w:rPr>
        <w:t>Proposals</w:t>
      </w:r>
    </w:p>
    <w:p w:rsidR="00527607" w:rsidRPr="00862601" w:rsidRDefault="00527607" w:rsidP="00527607">
      <w:pPr>
        <w:widowControl w:val="0"/>
        <w:ind w:left="851" w:right="397" w:hanging="491"/>
        <w:jc w:val="both"/>
        <w:rPr>
          <w:b/>
        </w:rPr>
      </w:pPr>
    </w:p>
    <w:p w:rsidR="00527607" w:rsidRDefault="00527607" w:rsidP="00527607">
      <w:pPr>
        <w:widowControl w:val="0"/>
        <w:numPr>
          <w:ilvl w:val="0"/>
          <w:numId w:val="6"/>
        </w:numPr>
        <w:ind w:left="851" w:right="397" w:hanging="491"/>
        <w:jc w:val="both"/>
      </w:pPr>
      <w:r>
        <w:t xml:space="preserve">As set out above, </w:t>
      </w:r>
      <w:r w:rsidR="00473A64">
        <w:t>a lawful development certificate for a proposed use is sou</w:t>
      </w:r>
      <w:r>
        <w:t xml:space="preserve">ght for </w:t>
      </w:r>
      <w:r w:rsidR="00473A64">
        <w:t>the larger single storey rear home extension to 19 Mortimer Drive</w:t>
      </w:r>
      <w:r w:rsidRPr="004640D6">
        <w:t>.</w:t>
      </w:r>
    </w:p>
    <w:p w:rsidR="00527607" w:rsidRDefault="00527607" w:rsidP="00527607">
      <w:pPr>
        <w:widowControl w:val="0"/>
        <w:ind w:left="851" w:right="397" w:hanging="491"/>
        <w:jc w:val="both"/>
      </w:pPr>
    </w:p>
    <w:p w:rsidR="00527607" w:rsidRDefault="00473A64" w:rsidP="00BD595D">
      <w:pPr>
        <w:widowControl w:val="0"/>
        <w:numPr>
          <w:ilvl w:val="0"/>
          <w:numId w:val="6"/>
        </w:numPr>
        <w:ind w:left="851" w:right="397" w:hanging="491"/>
        <w:jc w:val="both"/>
      </w:pPr>
      <w:r>
        <w:t xml:space="preserve">The rear extension is proposed to project </w:t>
      </w:r>
      <w:r w:rsidR="00BD595D">
        <w:t xml:space="preserve">4.725 metres to the </w:t>
      </w:r>
      <w:r w:rsidR="00AA04A4">
        <w:t xml:space="preserve">rear / </w:t>
      </w:r>
      <w:r w:rsidR="00BD595D">
        <w:t>south east of the existing dwelling. The width of the development is 4.493 metres with a flat roof at 2.6 metres height. A window is proposed to the rear of the proposed extension as well as a small window off the bathroom to the side of the proposed development.</w:t>
      </w:r>
    </w:p>
    <w:p w:rsidR="00527607" w:rsidRDefault="00527607" w:rsidP="00BD595D">
      <w:pPr>
        <w:widowControl w:val="0"/>
        <w:ind w:left="851" w:right="397" w:hanging="491"/>
        <w:jc w:val="both"/>
      </w:pPr>
    </w:p>
    <w:p w:rsidR="009274DA" w:rsidRDefault="00BD595D" w:rsidP="009274DA">
      <w:pPr>
        <w:widowControl w:val="0"/>
        <w:numPr>
          <w:ilvl w:val="0"/>
          <w:numId w:val="6"/>
        </w:numPr>
        <w:ind w:left="851" w:right="397" w:hanging="491"/>
        <w:jc w:val="both"/>
      </w:pPr>
      <w:r>
        <w:t>The housing services proposal is for an additional bedroom and bathroom facility for a disabled occupant.</w:t>
      </w:r>
    </w:p>
    <w:p w:rsidR="009274DA" w:rsidRDefault="009274DA" w:rsidP="009274DA">
      <w:pPr>
        <w:pStyle w:val="ListParagraph"/>
      </w:pPr>
    </w:p>
    <w:p w:rsidR="009274DA" w:rsidRDefault="006B7D9E" w:rsidP="009274DA">
      <w:pPr>
        <w:widowControl w:val="0"/>
        <w:numPr>
          <w:ilvl w:val="0"/>
          <w:numId w:val="6"/>
        </w:numPr>
        <w:ind w:left="851" w:right="397" w:hanging="491"/>
        <w:jc w:val="both"/>
      </w:pPr>
      <w:r>
        <w:t>The proposal is considered to comply with the requirements of permitted development because the following points are met:-</w:t>
      </w:r>
    </w:p>
    <w:p w:rsidR="006B7D9E" w:rsidRDefault="006B7D9E" w:rsidP="006B7D9E">
      <w:pPr>
        <w:pStyle w:val="ListParagraph"/>
      </w:pPr>
    </w:p>
    <w:p w:rsidR="009274DA" w:rsidRDefault="009274DA" w:rsidP="009274DA">
      <w:pPr>
        <w:pStyle w:val="ListParagraph"/>
        <w:widowControl w:val="0"/>
        <w:numPr>
          <w:ilvl w:val="0"/>
          <w:numId w:val="15"/>
        </w:numPr>
        <w:ind w:right="397"/>
        <w:jc w:val="both"/>
      </w:pPr>
      <w:r>
        <w:t>as a result of the works, the total area of ground covered by buildings within the</w:t>
      </w:r>
      <w:r w:rsidR="006B7D9E">
        <w:t xml:space="preserve"> </w:t>
      </w:r>
      <w:r>
        <w:t>curtilage of the dwellinghouse (other than the original dwellinghouse) would</w:t>
      </w:r>
      <w:r w:rsidR="006B7D9E">
        <w:t xml:space="preserve"> </w:t>
      </w:r>
      <w:r>
        <w:t>exceed 50% of the total area of the curtilage (excluding the ground area of the</w:t>
      </w:r>
      <w:r w:rsidR="006B7D9E">
        <w:t xml:space="preserve"> </w:t>
      </w:r>
      <w:r>
        <w:t>original dwellinghouse);</w:t>
      </w:r>
    </w:p>
    <w:p w:rsidR="009274DA" w:rsidRDefault="009274DA" w:rsidP="009274DA">
      <w:pPr>
        <w:pStyle w:val="ListParagraph"/>
        <w:widowControl w:val="0"/>
        <w:numPr>
          <w:ilvl w:val="0"/>
          <w:numId w:val="15"/>
        </w:numPr>
        <w:ind w:right="397"/>
        <w:jc w:val="both"/>
      </w:pPr>
      <w:r>
        <w:t>the height of the part of the dwellinghouse enlarged, improved or altered would</w:t>
      </w:r>
      <w:r w:rsidR="006B7D9E">
        <w:t xml:space="preserve"> </w:t>
      </w:r>
      <w:r>
        <w:t>exceed the height of the highest part of the roof of the existing dwellinghouse;</w:t>
      </w:r>
    </w:p>
    <w:p w:rsidR="009274DA" w:rsidRDefault="009274DA" w:rsidP="009274DA">
      <w:pPr>
        <w:pStyle w:val="ListParagraph"/>
        <w:widowControl w:val="0"/>
        <w:numPr>
          <w:ilvl w:val="0"/>
          <w:numId w:val="15"/>
        </w:numPr>
        <w:ind w:right="397"/>
        <w:jc w:val="both"/>
      </w:pPr>
      <w:r>
        <w:t xml:space="preserve">the height of the eaves of the part of the dwellinghouse enlarged, </w:t>
      </w:r>
      <w:r>
        <w:lastRenderedPageBreak/>
        <w:t>improved or</w:t>
      </w:r>
      <w:r w:rsidR="006B7D9E">
        <w:t xml:space="preserve"> </w:t>
      </w:r>
      <w:r>
        <w:t>altered would exceed the height of the eaves of the existing dwellinghouse;</w:t>
      </w:r>
    </w:p>
    <w:p w:rsidR="009274DA" w:rsidRDefault="009274DA" w:rsidP="009274DA">
      <w:pPr>
        <w:pStyle w:val="ListParagraph"/>
        <w:widowControl w:val="0"/>
        <w:numPr>
          <w:ilvl w:val="0"/>
          <w:numId w:val="15"/>
        </w:numPr>
        <w:ind w:right="397"/>
        <w:jc w:val="both"/>
      </w:pPr>
      <w:r>
        <w:t>the enlarged part of the dwellinghouse w</w:t>
      </w:r>
      <w:r w:rsidR="006B7D9E">
        <w:t xml:space="preserve">ould extend beyond a wall which </w:t>
      </w:r>
      <w:r>
        <w:t>(</w:t>
      </w:r>
      <w:proofErr w:type="spellStart"/>
      <w:r>
        <w:t>i</w:t>
      </w:r>
      <w:proofErr w:type="spellEnd"/>
      <w:r>
        <w:t>) fronts a highway, and</w:t>
      </w:r>
      <w:r w:rsidR="006B7D9E">
        <w:t xml:space="preserve"> </w:t>
      </w:r>
      <w:r>
        <w:t>(ii) forms either the principal elevation or a side elevation of the original</w:t>
      </w:r>
      <w:r w:rsidR="006B7D9E">
        <w:t xml:space="preserve"> </w:t>
      </w:r>
      <w:r>
        <w:t>dwellinghouse;</w:t>
      </w:r>
    </w:p>
    <w:p w:rsidR="006B7D9E" w:rsidRDefault="009274DA" w:rsidP="009274DA">
      <w:pPr>
        <w:pStyle w:val="ListParagraph"/>
        <w:widowControl w:val="0"/>
        <w:numPr>
          <w:ilvl w:val="0"/>
          <w:numId w:val="15"/>
        </w:numPr>
        <w:ind w:right="397"/>
        <w:jc w:val="both"/>
      </w:pPr>
      <w:r>
        <w:t>subject to paragraph (</w:t>
      </w:r>
      <w:proofErr w:type="spellStart"/>
      <w:r>
        <w:t>ea</w:t>
      </w:r>
      <w:proofErr w:type="spellEnd"/>
      <w:r>
        <w:t>), the enlarged part of the dwellinghouse would have a</w:t>
      </w:r>
      <w:r w:rsidR="006B7D9E">
        <w:t xml:space="preserve"> single storey and </w:t>
      </w:r>
      <w:r>
        <w:t>(</w:t>
      </w:r>
      <w:proofErr w:type="spellStart"/>
      <w:r>
        <w:t>i</w:t>
      </w:r>
      <w:proofErr w:type="spellEnd"/>
      <w:r>
        <w:t>) extend beyond the rear wall of the original dwellinghouse by more than 4</w:t>
      </w:r>
      <w:r w:rsidR="006B7D9E">
        <w:t xml:space="preserve"> </w:t>
      </w:r>
      <w:r>
        <w:t>metres in the case of a detached dwellinghouse, or 3 metres in the case of</w:t>
      </w:r>
      <w:r w:rsidR="006B7D9E">
        <w:t xml:space="preserve"> </w:t>
      </w:r>
      <w:r>
        <w:t>any other dwellinghouse, or</w:t>
      </w:r>
      <w:r w:rsidR="006B7D9E">
        <w:t xml:space="preserve"> </w:t>
      </w:r>
      <w:r>
        <w:t>(ii) exceed 4 metres in height;</w:t>
      </w:r>
      <w:r w:rsidR="006B7D9E">
        <w:t xml:space="preserve"> (paragraph (</w:t>
      </w:r>
      <w:proofErr w:type="spellStart"/>
      <w:r w:rsidR="006B7D9E">
        <w:t>ea</w:t>
      </w:r>
      <w:proofErr w:type="spellEnd"/>
      <w:r w:rsidR="006B7D9E">
        <w:t>) states “</w:t>
      </w:r>
      <w:r>
        <w:t>until 30th May 2016, for a dwellinghouse not on article 1(5) land nor on a site of</w:t>
      </w:r>
      <w:r w:rsidR="006B7D9E">
        <w:t xml:space="preserve"> </w:t>
      </w:r>
      <w:r>
        <w:t>special scientific interest, the enlarged part of the dwellinghouse would have a</w:t>
      </w:r>
      <w:r w:rsidR="006B7D9E">
        <w:t xml:space="preserve"> </w:t>
      </w:r>
      <w:r>
        <w:t>single storey</w:t>
      </w:r>
      <w:r w:rsidR="006B7D9E">
        <w:t xml:space="preserve"> and </w:t>
      </w:r>
      <w:r>
        <w:t>(</w:t>
      </w:r>
      <w:proofErr w:type="spellStart"/>
      <w:r>
        <w:t>i</w:t>
      </w:r>
      <w:proofErr w:type="spellEnd"/>
      <w:r>
        <w:t>) extend beyond the rear wall of the original dwellinghouse by more than 8</w:t>
      </w:r>
      <w:r w:rsidR="006B7D9E">
        <w:t xml:space="preserve"> </w:t>
      </w:r>
      <w:r>
        <w:t>metres in the case of a detached dwellinghouse, or 6 metres in the case of</w:t>
      </w:r>
      <w:r w:rsidR="006B7D9E">
        <w:t xml:space="preserve"> </w:t>
      </w:r>
      <w:r>
        <w:t>any other dwellinghouse, or</w:t>
      </w:r>
      <w:r w:rsidR="006B7D9E">
        <w:t xml:space="preserve"> </w:t>
      </w:r>
      <w:r>
        <w:t>(ii) exceed 4 metres in height;</w:t>
      </w:r>
      <w:r w:rsidR="006B7D9E">
        <w:t xml:space="preserve"> </w:t>
      </w:r>
    </w:p>
    <w:p w:rsidR="009274DA" w:rsidRDefault="009274DA" w:rsidP="009274DA">
      <w:pPr>
        <w:pStyle w:val="ListParagraph"/>
        <w:widowControl w:val="0"/>
        <w:numPr>
          <w:ilvl w:val="0"/>
          <w:numId w:val="15"/>
        </w:numPr>
        <w:ind w:right="397"/>
        <w:jc w:val="both"/>
      </w:pPr>
      <w:r>
        <w:t>the enlarged part of the dwellinghouse woul</w:t>
      </w:r>
      <w:r w:rsidR="006B7D9E">
        <w:t xml:space="preserve">d have more than one storey and </w:t>
      </w:r>
      <w:r>
        <w:t>(</w:t>
      </w:r>
      <w:proofErr w:type="spellStart"/>
      <w:r>
        <w:t>i</w:t>
      </w:r>
      <w:proofErr w:type="spellEnd"/>
      <w:r>
        <w:t>) extend beyond the rear wall of the original dwellinghouse by more than 3</w:t>
      </w:r>
      <w:r w:rsidR="006B7D9E">
        <w:t xml:space="preserve"> </w:t>
      </w:r>
      <w:r>
        <w:t>metres, or</w:t>
      </w:r>
      <w:r w:rsidR="006B7D9E">
        <w:t xml:space="preserve"> </w:t>
      </w:r>
      <w:r>
        <w:t>(ii) be within 7 metres of any boundary of the curtilage of the dwellinghouse</w:t>
      </w:r>
      <w:r w:rsidR="006B7D9E">
        <w:t xml:space="preserve"> </w:t>
      </w:r>
      <w:r>
        <w:t>opposite the rear wall of the dwellinghouse;</w:t>
      </w:r>
    </w:p>
    <w:p w:rsidR="009274DA" w:rsidRDefault="009274DA" w:rsidP="009274DA">
      <w:pPr>
        <w:pStyle w:val="ListParagraph"/>
        <w:widowControl w:val="0"/>
        <w:numPr>
          <w:ilvl w:val="0"/>
          <w:numId w:val="15"/>
        </w:numPr>
        <w:ind w:right="397"/>
        <w:jc w:val="both"/>
      </w:pPr>
      <w:r>
        <w:t>the enlarged part of the dwellinghouse would be within 2 metres of the boundary</w:t>
      </w:r>
      <w:r w:rsidR="006B7D9E">
        <w:t xml:space="preserve"> </w:t>
      </w:r>
      <w:r>
        <w:t>of the curtilage of the dwellinghouse, and the height of the eaves of the enlarged</w:t>
      </w:r>
      <w:r w:rsidR="006B7D9E">
        <w:t xml:space="preserve"> </w:t>
      </w:r>
      <w:r>
        <w:t>part would exceed 3 metres;</w:t>
      </w:r>
    </w:p>
    <w:p w:rsidR="009274DA" w:rsidRDefault="009274DA" w:rsidP="009274DA">
      <w:pPr>
        <w:pStyle w:val="ListParagraph"/>
        <w:widowControl w:val="0"/>
        <w:numPr>
          <w:ilvl w:val="0"/>
          <w:numId w:val="15"/>
        </w:numPr>
        <w:ind w:right="397"/>
        <w:jc w:val="both"/>
      </w:pPr>
      <w:r>
        <w:t>the enlarged part of the dwellinghouse would extend beyond a wall forming a</w:t>
      </w:r>
      <w:r w:rsidR="006B7D9E">
        <w:t xml:space="preserve"> </w:t>
      </w:r>
      <w:r>
        <w:t>side elevation of the or</w:t>
      </w:r>
      <w:r w:rsidR="006B7D9E">
        <w:t xml:space="preserve">iginal dwellinghouse, and would </w:t>
      </w:r>
      <w:r>
        <w:t>(</w:t>
      </w:r>
      <w:proofErr w:type="spellStart"/>
      <w:r>
        <w:t>i</w:t>
      </w:r>
      <w:proofErr w:type="spellEnd"/>
      <w:r>
        <w:t>) exceed 4 metres in height,</w:t>
      </w:r>
      <w:r w:rsidR="006B7D9E">
        <w:t xml:space="preserve"> </w:t>
      </w:r>
      <w:r>
        <w:t>(ii) have more than one storey, or</w:t>
      </w:r>
      <w:r w:rsidR="006B7D9E">
        <w:t xml:space="preserve"> </w:t>
      </w:r>
      <w:r>
        <w:t>(iii) have a width greater than half the width o</w:t>
      </w:r>
      <w:r w:rsidR="006B7D9E">
        <w:t xml:space="preserve">f the original dwellinghouse; </w:t>
      </w:r>
    </w:p>
    <w:p w:rsidR="009274DA" w:rsidRDefault="009274DA" w:rsidP="009274DA">
      <w:pPr>
        <w:pStyle w:val="ListParagraph"/>
        <w:widowControl w:val="0"/>
        <w:numPr>
          <w:ilvl w:val="0"/>
          <w:numId w:val="15"/>
        </w:numPr>
        <w:ind w:right="397"/>
        <w:jc w:val="both"/>
      </w:pPr>
      <w:r>
        <w:t>it would consist of or include</w:t>
      </w:r>
      <w:r w:rsidR="006B7D9E">
        <w:t xml:space="preserve"> </w:t>
      </w:r>
      <w:r>
        <w:t>(</w:t>
      </w:r>
      <w:proofErr w:type="spellStart"/>
      <w:r>
        <w:t>i</w:t>
      </w:r>
      <w:proofErr w:type="spellEnd"/>
      <w:r>
        <w:t>) the construction or provision of a veranda, balcony or raised platform,</w:t>
      </w:r>
      <w:r w:rsidR="006B7D9E">
        <w:t xml:space="preserve"> </w:t>
      </w:r>
      <w:r>
        <w:t>(ii) the installation, alteration or replacement of a microwave antenna,(iii) the installation, alteration or replacement of a chimney, flue or soil and</w:t>
      </w:r>
      <w:r w:rsidR="006B7D9E">
        <w:t xml:space="preserve"> </w:t>
      </w:r>
      <w:r>
        <w:t>vent pipe, or</w:t>
      </w:r>
      <w:r w:rsidR="006B7D9E">
        <w:t xml:space="preserve"> </w:t>
      </w:r>
      <w:r>
        <w:t>(iv) an alteration to any part of the roof of the dwellinghouse.</w:t>
      </w:r>
    </w:p>
    <w:p w:rsidR="006B7D9E" w:rsidRDefault="006B7D9E" w:rsidP="006B7D9E">
      <w:pPr>
        <w:pStyle w:val="ListParagraph"/>
        <w:widowControl w:val="0"/>
        <w:ind w:left="1211" w:right="397"/>
        <w:jc w:val="both"/>
      </w:pPr>
    </w:p>
    <w:p w:rsidR="009274DA" w:rsidRPr="00A036AC" w:rsidRDefault="009274DA" w:rsidP="009274DA">
      <w:pPr>
        <w:pStyle w:val="Header"/>
        <w:widowControl w:val="0"/>
        <w:tabs>
          <w:tab w:val="clear" w:pos="4153"/>
          <w:tab w:val="clear" w:pos="8306"/>
        </w:tabs>
        <w:ind w:right="282" w:firstLine="360"/>
        <w:jc w:val="both"/>
        <w:rPr>
          <w:bCs/>
        </w:rPr>
      </w:pPr>
      <w:r>
        <w:rPr>
          <w:b/>
          <w:bCs/>
        </w:rPr>
        <w:t>4</w:t>
      </w:r>
      <w:r>
        <w:rPr>
          <w:b/>
          <w:bCs/>
        </w:rPr>
        <w:tab/>
        <w:t>Conclusion:</w:t>
      </w:r>
    </w:p>
    <w:p w:rsidR="009274DA" w:rsidRDefault="009274DA" w:rsidP="009274DA">
      <w:pPr>
        <w:widowControl w:val="0"/>
        <w:ind w:left="360" w:right="397"/>
        <w:jc w:val="both"/>
      </w:pPr>
    </w:p>
    <w:p w:rsidR="009274DA" w:rsidRDefault="009274DA" w:rsidP="009274DA">
      <w:pPr>
        <w:widowControl w:val="0"/>
        <w:ind w:left="840" w:right="397" w:hanging="480"/>
        <w:jc w:val="both"/>
      </w:pPr>
      <w:r>
        <w:t>4.1</w:t>
      </w:r>
      <w:r>
        <w:tab/>
        <w:t xml:space="preserve">The proposal meets all permitted development criteria as laid out by the Town and Country Planning (General Permitted Development) Order </w:t>
      </w:r>
      <w:r w:rsidRPr="009274DA">
        <w:t>1995 as amended by the Town and Country Planning (General Permitted Development) (Amendment) (No.2) (England) Order 2008. On the basis of the above</w:t>
      </w:r>
      <w:r>
        <w:t>,</w:t>
      </w:r>
      <w:r w:rsidRPr="009274DA">
        <w:t xml:space="preserve"> officers recommend that</w:t>
      </w:r>
      <w:r>
        <w:t xml:space="preserve"> the application be approved.</w:t>
      </w:r>
    </w:p>
    <w:p w:rsidR="00527607" w:rsidRDefault="009274DA" w:rsidP="0081361D">
      <w:pPr>
        <w:widowControl w:val="0"/>
        <w:ind w:right="397"/>
        <w:jc w:val="both"/>
      </w:pPr>
      <w:r>
        <w:tab/>
      </w:r>
    </w:p>
    <w:p w:rsidR="0081361D" w:rsidRDefault="0081361D" w:rsidP="0081361D">
      <w:pPr>
        <w:widowControl w:val="0"/>
        <w:ind w:right="397"/>
        <w:jc w:val="both"/>
      </w:pPr>
    </w:p>
    <w:p w:rsidR="00527607" w:rsidRDefault="00527607" w:rsidP="00527607">
      <w:pPr>
        <w:ind w:right="397"/>
        <w:jc w:val="both"/>
        <w:rPr>
          <w:b/>
          <w:bCs/>
        </w:rPr>
      </w:pPr>
      <w:r>
        <w:rPr>
          <w:b/>
          <w:bCs/>
        </w:rPr>
        <w:t xml:space="preserve">Background Papers: </w:t>
      </w:r>
    </w:p>
    <w:p w:rsidR="00527607" w:rsidRDefault="0039723D" w:rsidP="00527607">
      <w:pPr>
        <w:ind w:right="397"/>
        <w:jc w:val="both"/>
        <w:rPr>
          <w:b/>
          <w:bCs/>
        </w:rPr>
      </w:pPr>
      <w:r>
        <w:t>14/02356/H42</w:t>
      </w:r>
    </w:p>
    <w:p w:rsidR="00527607" w:rsidRDefault="00527607" w:rsidP="00527607">
      <w:pPr>
        <w:ind w:right="397"/>
        <w:jc w:val="both"/>
      </w:pPr>
    </w:p>
    <w:p w:rsidR="00527607" w:rsidRDefault="00527607" w:rsidP="00527607">
      <w:pPr>
        <w:jc w:val="both"/>
      </w:pPr>
      <w:r>
        <w:rPr>
          <w:b/>
          <w:bCs/>
        </w:rPr>
        <w:t xml:space="preserve">Contact Officer: </w:t>
      </w:r>
      <w:r w:rsidR="0039723D">
        <w:t>Tobias Fett</w:t>
      </w:r>
    </w:p>
    <w:p w:rsidR="00527607" w:rsidRDefault="00527607" w:rsidP="00527607">
      <w:pPr>
        <w:jc w:val="both"/>
      </w:pPr>
      <w:r>
        <w:rPr>
          <w:b/>
          <w:bCs/>
        </w:rPr>
        <w:t xml:space="preserve">Extension: </w:t>
      </w:r>
      <w:r w:rsidR="0039723D">
        <w:t>2241</w:t>
      </w:r>
    </w:p>
    <w:p w:rsidR="00A036AC" w:rsidRDefault="00527607" w:rsidP="0081361D">
      <w:pPr>
        <w:jc w:val="both"/>
        <w:rPr>
          <w:b/>
        </w:rPr>
      </w:pPr>
      <w:r>
        <w:rPr>
          <w:b/>
          <w:bCs/>
        </w:rPr>
        <w:t xml:space="preserve">Date: </w:t>
      </w:r>
      <w:r w:rsidR="00A036AC">
        <w:t>20.</w:t>
      </w:r>
      <w:r w:rsidR="0039723D">
        <w:t>10</w:t>
      </w:r>
      <w:r w:rsidR="00A036AC">
        <w:t>.</w:t>
      </w:r>
      <w:r>
        <w:t>2014</w:t>
      </w:r>
    </w:p>
    <w:sectPr w:rsidR="00A036AC">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33" w:rsidRDefault="0094588A">
      <w:r>
        <w:separator/>
      </w:r>
    </w:p>
  </w:endnote>
  <w:endnote w:type="continuationSeparator" w:id="0">
    <w:p w:rsidR="00012333" w:rsidRDefault="0094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E" w:rsidRDefault="004B564D">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33" w:rsidRDefault="0094588A">
      <w:r>
        <w:separator/>
      </w:r>
    </w:p>
  </w:footnote>
  <w:footnote w:type="continuationSeparator" w:id="0">
    <w:p w:rsidR="00012333" w:rsidRDefault="0094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A9D"/>
    <w:multiLevelType w:val="hybridMultilevel"/>
    <w:tmpl w:val="69BA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709F8"/>
    <w:multiLevelType w:val="hybridMultilevel"/>
    <w:tmpl w:val="537AF7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C500D2D"/>
    <w:multiLevelType w:val="hybridMultilevel"/>
    <w:tmpl w:val="F22C1456"/>
    <w:lvl w:ilvl="0" w:tplc="867849F8">
      <w:start w:val="1"/>
      <w:numFmt w:val="decimal"/>
      <w:lvlText w:val="2.%1 "/>
      <w:lvlJc w:val="left"/>
      <w:pPr>
        <w:ind w:left="644"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D20109"/>
    <w:multiLevelType w:val="hybridMultilevel"/>
    <w:tmpl w:val="D7B84066"/>
    <w:lvl w:ilvl="0" w:tplc="1518B816">
      <w:start w:val="1"/>
      <w:numFmt w:val="decimal"/>
      <w:lvlText w:val="7.%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1231AF4"/>
    <w:multiLevelType w:val="hybridMultilevel"/>
    <w:tmpl w:val="BABA20AE"/>
    <w:lvl w:ilvl="0" w:tplc="DA0EE9B0">
      <w:start w:val="1"/>
      <w:numFmt w:val="decimal"/>
      <w:lvlText w:val="5.%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84F453D"/>
    <w:multiLevelType w:val="hybridMultilevel"/>
    <w:tmpl w:val="1F92ACBC"/>
    <w:lvl w:ilvl="0" w:tplc="B17EBA5E">
      <w:start w:val="15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107EA"/>
    <w:multiLevelType w:val="multilevel"/>
    <w:tmpl w:val="7F3233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DE920C5"/>
    <w:multiLevelType w:val="hybridMultilevel"/>
    <w:tmpl w:val="05CCC3AE"/>
    <w:lvl w:ilvl="0" w:tplc="EAF086AC">
      <w:start w:val="2"/>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A712F1"/>
    <w:multiLevelType w:val="hybridMultilevel"/>
    <w:tmpl w:val="A2D68952"/>
    <w:lvl w:ilvl="0" w:tplc="9C968E6E">
      <w:start w:val="1"/>
      <w:numFmt w:val="decimal"/>
      <w:lvlText w:val="4.%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826903"/>
    <w:multiLevelType w:val="hybridMultilevel"/>
    <w:tmpl w:val="F03A8A30"/>
    <w:lvl w:ilvl="0" w:tplc="24C86A86">
      <w:start w:val="1"/>
      <w:numFmt w:val="decimal"/>
      <w:lvlText w:val="3.%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F354BA2"/>
    <w:multiLevelType w:val="hybridMultilevel"/>
    <w:tmpl w:val="D09EC098"/>
    <w:lvl w:ilvl="0" w:tplc="5F98BE7A">
      <w:start w:val="1"/>
      <w:numFmt w:val="decimal"/>
      <w:lvlText w:val="6.%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C29331D"/>
    <w:multiLevelType w:val="hybridMultilevel"/>
    <w:tmpl w:val="366E608A"/>
    <w:lvl w:ilvl="0" w:tplc="DD349F12">
      <w:start w:val="1"/>
      <w:numFmt w:val="decimal"/>
      <w:lvlText w:val="1.%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9190973"/>
    <w:multiLevelType w:val="hybridMultilevel"/>
    <w:tmpl w:val="024A1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5972E53"/>
    <w:multiLevelType w:val="hybridMultilevel"/>
    <w:tmpl w:val="A5ECDCF6"/>
    <w:lvl w:ilvl="0" w:tplc="688053EA">
      <w:start w:val="1"/>
      <w:numFmt w:val="decimal"/>
      <w:lvlText w:val="8.%1 "/>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91A63F6"/>
    <w:multiLevelType w:val="hybridMultilevel"/>
    <w:tmpl w:val="29F62AD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0"/>
  </w:num>
  <w:num w:numId="3">
    <w:abstractNumId w:val="11"/>
  </w:num>
  <w:num w:numId="4">
    <w:abstractNumId w:val="7"/>
  </w:num>
  <w:num w:numId="5">
    <w:abstractNumId w:val="2"/>
  </w:num>
  <w:num w:numId="6">
    <w:abstractNumId w:val="9"/>
  </w:num>
  <w:num w:numId="7">
    <w:abstractNumId w:val="8"/>
  </w:num>
  <w:num w:numId="8">
    <w:abstractNumId w:val="4"/>
  </w:num>
  <w:num w:numId="9">
    <w:abstractNumId w:val="10"/>
  </w:num>
  <w:num w:numId="10">
    <w:abstractNumId w:val="3"/>
  </w:num>
  <w:num w:numId="11">
    <w:abstractNumId w:val="13"/>
  </w:num>
  <w:num w:numId="12">
    <w:abstractNumId w:val="5"/>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07"/>
    <w:rsid w:val="00012333"/>
    <w:rsid w:val="00036276"/>
    <w:rsid w:val="000544B8"/>
    <w:rsid w:val="000B4310"/>
    <w:rsid w:val="000F28E6"/>
    <w:rsid w:val="0039723D"/>
    <w:rsid w:val="004000D7"/>
    <w:rsid w:val="00473A64"/>
    <w:rsid w:val="004B564D"/>
    <w:rsid w:val="00504E43"/>
    <w:rsid w:val="00510CFE"/>
    <w:rsid w:val="00527607"/>
    <w:rsid w:val="006054E5"/>
    <w:rsid w:val="006876D9"/>
    <w:rsid w:val="006B7D9E"/>
    <w:rsid w:val="00777FE6"/>
    <w:rsid w:val="007908F4"/>
    <w:rsid w:val="0081361D"/>
    <w:rsid w:val="008A22C6"/>
    <w:rsid w:val="009274DA"/>
    <w:rsid w:val="0094588A"/>
    <w:rsid w:val="009E05CB"/>
    <w:rsid w:val="00A036AC"/>
    <w:rsid w:val="00AA04A4"/>
    <w:rsid w:val="00BD595D"/>
    <w:rsid w:val="00C07F80"/>
    <w:rsid w:val="00D3497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07"/>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607"/>
    <w:pPr>
      <w:tabs>
        <w:tab w:val="center" w:pos="4153"/>
        <w:tab w:val="right" w:pos="8306"/>
      </w:tabs>
    </w:pPr>
  </w:style>
  <w:style w:type="character" w:customStyle="1" w:styleId="HeaderChar">
    <w:name w:val="Header Char"/>
    <w:basedOn w:val="DefaultParagraphFont"/>
    <w:link w:val="Header"/>
    <w:uiPriority w:val="99"/>
    <w:rsid w:val="00527607"/>
    <w:rPr>
      <w:rFonts w:eastAsia="Times New Roman"/>
    </w:rPr>
  </w:style>
  <w:style w:type="paragraph" w:styleId="Footer">
    <w:name w:val="footer"/>
    <w:basedOn w:val="Normal"/>
    <w:link w:val="FooterChar"/>
    <w:uiPriority w:val="99"/>
    <w:rsid w:val="00527607"/>
    <w:pPr>
      <w:tabs>
        <w:tab w:val="center" w:pos="4153"/>
        <w:tab w:val="right" w:pos="8306"/>
      </w:tabs>
    </w:pPr>
  </w:style>
  <w:style w:type="character" w:customStyle="1" w:styleId="FooterChar">
    <w:name w:val="Footer Char"/>
    <w:basedOn w:val="DefaultParagraphFont"/>
    <w:link w:val="Footer"/>
    <w:uiPriority w:val="99"/>
    <w:rsid w:val="00527607"/>
    <w:rPr>
      <w:rFonts w:eastAsia="Times New Roman"/>
    </w:rPr>
  </w:style>
  <w:style w:type="paragraph" w:styleId="ListParagraph">
    <w:name w:val="List Paragraph"/>
    <w:basedOn w:val="Normal"/>
    <w:uiPriority w:val="34"/>
    <w:qFormat/>
    <w:rsid w:val="00527607"/>
    <w:pPr>
      <w:ind w:left="720"/>
    </w:pPr>
  </w:style>
  <w:style w:type="paragraph" w:styleId="BalloonText">
    <w:name w:val="Balloon Text"/>
    <w:basedOn w:val="Normal"/>
    <w:link w:val="BalloonTextChar"/>
    <w:uiPriority w:val="99"/>
    <w:semiHidden/>
    <w:unhideWhenUsed/>
    <w:rsid w:val="00527607"/>
    <w:rPr>
      <w:rFonts w:ascii="Tahoma" w:hAnsi="Tahoma" w:cs="Tahoma"/>
      <w:sz w:val="16"/>
      <w:szCs w:val="16"/>
    </w:rPr>
  </w:style>
  <w:style w:type="character" w:customStyle="1" w:styleId="BalloonTextChar">
    <w:name w:val="Balloon Text Char"/>
    <w:basedOn w:val="DefaultParagraphFont"/>
    <w:link w:val="BalloonText"/>
    <w:uiPriority w:val="99"/>
    <w:semiHidden/>
    <w:rsid w:val="005276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07"/>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607"/>
    <w:pPr>
      <w:tabs>
        <w:tab w:val="center" w:pos="4153"/>
        <w:tab w:val="right" w:pos="8306"/>
      </w:tabs>
    </w:pPr>
  </w:style>
  <w:style w:type="character" w:customStyle="1" w:styleId="HeaderChar">
    <w:name w:val="Header Char"/>
    <w:basedOn w:val="DefaultParagraphFont"/>
    <w:link w:val="Header"/>
    <w:uiPriority w:val="99"/>
    <w:rsid w:val="00527607"/>
    <w:rPr>
      <w:rFonts w:eastAsia="Times New Roman"/>
    </w:rPr>
  </w:style>
  <w:style w:type="paragraph" w:styleId="Footer">
    <w:name w:val="footer"/>
    <w:basedOn w:val="Normal"/>
    <w:link w:val="FooterChar"/>
    <w:uiPriority w:val="99"/>
    <w:rsid w:val="00527607"/>
    <w:pPr>
      <w:tabs>
        <w:tab w:val="center" w:pos="4153"/>
        <w:tab w:val="right" w:pos="8306"/>
      </w:tabs>
    </w:pPr>
  </w:style>
  <w:style w:type="character" w:customStyle="1" w:styleId="FooterChar">
    <w:name w:val="Footer Char"/>
    <w:basedOn w:val="DefaultParagraphFont"/>
    <w:link w:val="Footer"/>
    <w:uiPriority w:val="99"/>
    <w:rsid w:val="00527607"/>
    <w:rPr>
      <w:rFonts w:eastAsia="Times New Roman"/>
    </w:rPr>
  </w:style>
  <w:style w:type="paragraph" w:styleId="ListParagraph">
    <w:name w:val="List Paragraph"/>
    <w:basedOn w:val="Normal"/>
    <w:uiPriority w:val="34"/>
    <w:qFormat/>
    <w:rsid w:val="00527607"/>
    <w:pPr>
      <w:ind w:left="720"/>
    </w:pPr>
  </w:style>
  <w:style w:type="paragraph" w:styleId="BalloonText">
    <w:name w:val="Balloon Text"/>
    <w:basedOn w:val="Normal"/>
    <w:link w:val="BalloonTextChar"/>
    <w:uiPriority w:val="99"/>
    <w:semiHidden/>
    <w:unhideWhenUsed/>
    <w:rsid w:val="00527607"/>
    <w:rPr>
      <w:rFonts w:ascii="Tahoma" w:hAnsi="Tahoma" w:cs="Tahoma"/>
      <w:sz w:val="16"/>
      <w:szCs w:val="16"/>
    </w:rPr>
  </w:style>
  <w:style w:type="character" w:customStyle="1" w:styleId="BalloonTextChar">
    <w:name w:val="Balloon Text Char"/>
    <w:basedOn w:val="DefaultParagraphFont"/>
    <w:link w:val="BalloonText"/>
    <w:uiPriority w:val="99"/>
    <w:semiHidden/>
    <w:rsid w:val="005276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4D0-E9CA-4ED5-8721-B1914E3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5074FCF7</Template>
  <TotalTime>35</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tobias.fett</dc:creator>
  <cp:lastModifiedBy>Thompson, Jennifer - Oxford City Council</cp:lastModifiedBy>
  <cp:revision>5</cp:revision>
  <dcterms:created xsi:type="dcterms:W3CDTF">2014-10-20T12:59:00Z</dcterms:created>
  <dcterms:modified xsi:type="dcterms:W3CDTF">2014-10-28T10:32:00Z</dcterms:modified>
</cp:coreProperties>
</file>